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117" w:rsidRPr="0041163A" w:rsidRDefault="00384117" w:rsidP="00384117">
      <w:pPr>
        <w:spacing w:line="360" w:lineRule="auto"/>
        <w:rPr>
          <w:rFonts w:cs="Times New Roman"/>
          <w:b/>
          <w:bCs/>
          <w:color w:val="000000" w:themeColor="text1"/>
          <w:sz w:val="22"/>
          <w:u w:val="single"/>
        </w:rPr>
      </w:pPr>
      <w:r w:rsidRPr="0041163A">
        <w:rPr>
          <w:rFonts w:cs="Times New Roman"/>
          <w:b/>
          <w:bCs/>
          <w:color w:val="000000" w:themeColor="text1"/>
          <w:sz w:val="22"/>
          <w:u w:val="single"/>
        </w:rPr>
        <w:t xml:space="preserve">Φύλλο εργασίας Ξενοφῶντος </w:t>
      </w:r>
      <w:r w:rsidRPr="0041163A">
        <w:rPr>
          <w:rFonts w:cs="Times New Roman"/>
          <w:b/>
          <w:bCs/>
          <w:i/>
          <w:iCs/>
          <w:color w:val="000000" w:themeColor="text1"/>
          <w:sz w:val="22"/>
          <w:u w:val="single"/>
        </w:rPr>
        <w:t>Ἑλληνικά</w:t>
      </w:r>
      <w:r w:rsidR="00354FE2" w:rsidRPr="0041163A">
        <w:rPr>
          <w:rFonts w:cs="Times New Roman"/>
          <w:b/>
          <w:bCs/>
          <w:i/>
          <w:iCs/>
          <w:color w:val="000000" w:themeColor="text1"/>
          <w:sz w:val="22"/>
          <w:u w:val="single"/>
        </w:rPr>
        <w:t>,</w:t>
      </w:r>
      <w:r w:rsidRPr="0041163A">
        <w:rPr>
          <w:rFonts w:cs="Times New Roman"/>
          <w:b/>
          <w:bCs/>
          <w:color w:val="000000" w:themeColor="text1"/>
          <w:sz w:val="22"/>
          <w:u w:val="single"/>
        </w:rPr>
        <w:t xml:space="preserve"> βιβλίο 2</w:t>
      </w:r>
      <w:r w:rsidR="00354FE2" w:rsidRPr="0041163A">
        <w:rPr>
          <w:rFonts w:cs="Times New Roman"/>
          <w:b/>
          <w:bCs/>
          <w:color w:val="000000" w:themeColor="text1"/>
          <w:sz w:val="22"/>
          <w:u w:val="single"/>
        </w:rPr>
        <w:t>.</w:t>
      </w:r>
      <w:r w:rsidRPr="0041163A">
        <w:rPr>
          <w:rFonts w:cs="Times New Roman"/>
          <w:b/>
          <w:bCs/>
          <w:color w:val="000000" w:themeColor="text1"/>
          <w:sz w:val="22"/>
          <w:u w:val="single"/>
        </w:rPr>
        <w:t xml:space="preserve">3 </w:t>
      </w:r>
      <w:r w:rsidR="00354FE2" w:rsidRPr="0041163A">
        <w:rPr>
          <w:rFonts w:cs="Times New Roman"/>
          <w:b/>
          <w:bCs/>
          <w:color w:val="000000" w:themeColor="text1"/>
          <w:sz w:val="22"/>
          <w:u w:val="single"/>
        </w:rPr>
        <w:t>&amp;52-55.</w:t>
      </w:r>
      <w:r w:rsidRPr="0041163A">
        <w:rPr>
          <w:rFonts w:cs="Times New Roman"/>
          <w:b/>
          <w:bCs/>
          <w:color w:val="000000" w:themeColor="text1"/>
          <w:sz w:val="22"/>
          <w:u w:val="single"/>
        </w:rPr>
        <w:t>3</w:t>
      </w:r>
    </w:p>
    <w:p w:rsidR="00384117" w:rsidRPr="0041163A" w:rsidRDefault="00384117" w:rsidP="00384117">
      <w:pPr>
        <w:spacing w:line="360" w:lineRule="auto"/>
        <w:rPr>
          <w:rFonts w:cs="Times New Roman"/>
          <w:b/>
          <w:bCs/>
          <w:sz w:val="22"/>
        </w:rPr>
      </w:pPr>
      <w:r w:rsidRPr="0041163A">
        <w:rPr>
          <w:rFonts w:cs="Times New Roman"/>
          <w:b/>
          <w:bCs/>
          <w:sz w:val="22"/>
        </w:rPr>
        <w:t>ΚΕΙΜΕΝΟ</w:t>
      </w:r>
    </w:p>
    <w:p w:rsidR="00384117" w:rsidRPr="0041163A" w:rsidRDefault="00384117" w:rsidP="00384117">
      <w:pPr>
        <w:spacing w:line="360" w:lineRule="auto"/>
        <w:rPr>
          <w:rFonts w:cs="Times New Roman"/>
          <w:i/>
          <w:iCs/>
          <w:sz w:val="22"/>
        </w:rPr>
      </w:pPr>
      <w:r w:rsidRPr="0041163A">
        <w:rPr>
          <w:rFonts w:cs="Times New Roman"/>
          <w:i/>
          <w:iCs/>
          <w:sz w:val="22"/>
        </w:rPr>
        <w:t>Ἀκούσας ταῦτα ὁ Θηραμένης ἀνεπήδησεν ἐπὶ τὴν ἑστίαν καὶ εἶπεν· «Ἐγὼ δ’, ἔφη, ὦ ἄνδρες, ἱκετεύω τὰ πάντων ἐννομώτατα, μὴ ἐπὶ Κριτίᾳ εἶναι ἐξαλείφειν μήτε ἐμὲ μήτε ὑμῶν ὃν ἂν βούληται, ἀλλ’ ὅνπερ νόμον οὗτοι ἔγραψαν περὶ τῶν ἐν τῷ καταλόγῳ, κατὰ τοῦτον καὶ ὑμῖν καὶ ἐμοὶ τὴν κρίσιν εἶναι. Καὶ τοῦτο μέν, ἔφη, μὰ τοὺς θεοὺς οὐκ ἀγνοῶ, ὅτι οὐδέν μοι ἀρκέσει ὅδε ὁ βωμός, ἀλλὰ βούλομαι καὶ τοῦτο ἐπιδεῖξαι, ὅτι οὗτοι, οὐ μόνον εἰσὶ περὶ ἀνθρώπους ἀδικώτατοι, ἀλλὰ καὶ περὶ θεοὺς ἀσεβέστατοι. Ὑμῶν μέντοι, ἔφη, ὦ ἄνδρες καλοὶ κἀγαθοί, θαυμάζω, εἰ μὴ βοηθήσετε ὑμῖν αὐτοῖς, καὶ ταῦτα γιγνώσκοντες ὅτι οὐδὲν τὸ ἐμὸν ὄνομα εὐεξαλειπτότερον ἢ τὸ ὑμῶν ἑκάστου». Ἐκ δὲ τούτου ἐκέλευσε μὲν ὁ τῶν τριάκοντα κῆρυξ τοὺς ἕνδεκα ἐπὶ τὸν Θηραμένην· ἐκεῖνοι δὲ εἰσελθόντες σὺν τοῖς ὑπηρέταις, ἡγουμένου αὐτῶν Σατύρου τοῦ θρασυτάτου τε καὶ ἀναιδεστάτου, εἶπε μὲν ὁ Κριτίας· «Παραδίδομεν ὑμῖν, ἔφη, Θηραμένην τουτονὶ κατακεκριμένον κατὰ τὸν νόμον. Ὑμεῖς δὲ λαβόντες καὶ ἀπαγαγόντες [οἱ ἕνδεκα] οὗ δεῖ τὰ ἐκ τούτων πράττετε».</w:t>
      </w:r>
    </w:p>
    <w:p w:rsidR="00384117" w:rsidRPr="0041163A" w:rsidRDefault="00384117" w:rsidP="00384117">
      <w:pPr>
        <w:spacing w:line="360" w:lineRule="auto"/>
        <w:jc w:val="left"/>
        <w:rPr>
          <w:rFonts w:cs="Times New Roman"/>
          <w:sz w:val="22"/>
        </w:rPr>
      </w:pPr>
    </w:p>
    <w:p w:rsidR="00384117" w:rsidRPr="0041163A" w:rsidRDefault="00384117" w:rsidP="00384117">
      <w:pPr>
        <w:spacing w:after="0" w:line="360" w:lineRule="auto"/>
        <w:rPr>
          <w:rFonts w:cs="Times New Roman"/>
          <w:b/>
          <w:bCs/>
          <w:sz w:val="22"/>
        </w:rPr>
      </w:pPr>
      <w:r w:rsidRPr="0041163A">
        <w:rPr>
          <w:rFonts w:cs="Times New Roman"/>
          <w:b/>
          <w:bCs/>
          <w:sz w:val="22"/>
        </w:rPr>
        <w:t>ΠΑΡΑΤΗΡΗΣΕΙΣ</w:t>
      </w:r>
    </w:p>
    <w:p w:rsidR="00384117" w:rsidRPr="0041163A" w:rsidRDefault="00384117" w:rsidP="00384117">
      <w:pPr>
        <w:pStyle w:val="a3"/>
        <w:numPr>
          <w:ilvl w:val="0"/>
          <w:numId w:val="1"/>
        </w:numPr>
        <w:spacing w:after="0" w:line="360" w:lineRule="auto"/>
        <w:rPr>
          <w:rFonts w:cs="Times New Roman"/>
          <w:b/>
          <w:bCs/>
          <w:sz w:val="22"/>
        </w:rPr>
      </w:pPr>
      <w:r w:rsidRPr="0041163A">
        <w:rPr>
          <w:rFonts w:cs="Times New Roman"/>
          <w:sz w:val="22"/>
        </w:rPr>
        <w:t xml:space="preserve">Να μεταφράσετε </w:t>
      </w:r>
      <w:r w:rsidRPr="0041163A">
        <w:rPr>
          <w:rFonts w:eastAsia="Calibri" w:cs="Times New Roman"/>
          <w:sz w:val="22"/>
        </w:rPr>
        <w:t>στη Νέα Ελληνική το απόσπασμα: «</w:t>
      </w:r>
      <w:r w:rsidRPr="0041163A">
        <w:rPr>
          <w:rFonts w:eastAsia="Calibri" w:cs="Times New Roman"/>
          <w:i/>
          <w:iCs/>
          <w:sz w:val="22"/>
        </w:rPr>
        <w:t>Ὑμῶν μέντοι, … ἐκ τούτων πράττετε</w:t>
      </w:r>
      <w:r w:rsidRPr="0041163A">
        <w:rPr>
          <w:rFonts w:eastAsia="Calibri" w:cs="Times New Roman"/>
          <w:sz w:val="22"/>
        </w:rPr>
        <w:t>».</w:t>
      </w:r>
    </w:p>
    <w:p w:rsidR="00D507C9" w:rsidRPr="0041163A" w:rsidRDefault="00D507C9" w:rsidP="00D507C9">
      <w:pPr>
        <w:pStyle w:val="a3"/>
        <w:numPr>
          <w:ilvl w:val="0"/>
          <w:numId w:val="4"/>
        </w:numPr>
        <w:spacing w:after="0" w:line="360" w:lineRule="auto"/>
        <w:rPr>
          <w:rFonts w:cs="Times New Roman"/>
          <w:b/>
          <w:bCs/>
          <w:color w:val="0070C0"/>
          <w:sz w:val="22"/>
        </w:rPr>
      </w:pPr>
      <w:r w:rsidRPr="0041163A">
        <w:rPr>
          <w:rFonts w:cs="Times New Roman"/>
          <w:iCs/>
          <w:sz w:val="22"/>
        </w:rPr>
        <w:t>«</w:t>
      </w:r>
      <w:r w:rsidRPr="0041163A">
        <w:rPr>
          <w:rFonts w:cs="Times New Roman"/>
          <w:b/>
          <w:i/>
          <w:iCs/>
          <w:sz w:val="22"/>
        </w:rPr>
        <w:t>ὁ Θηραμένης ἀνεπήδησεν ἐπὶ τὴν ἑστίαν</w:t>
      </w:r>
      <w:r w:rsidRPr="0041163A">
        <w:rPr>
          <w:rFonts w:cs="Times New Roman"/>
          <w:iCs/>
          <w:sz w:val="22"/>
        </w:rPr>
        <w:t xml:space="preserve">»: Τι επιδιώκει ο Θηραμένης με την καταφυγή του στον βωμό; (μονάδες 4) Να λάβετε υπόψη σας το κοινωνικό και θρησκευτικό πλαίσιο της εποχής. </w:t>
      </w:r>
      <w:r w:rsidRPr="0041163A">
        <w:rPr>
          <w:rFonts w:cs="Times New Roman"/>
          <w:bCs/>
          <w:sz w:val="22"/>
        </w:rPr>
        <w:t xml:space="preserve">(μονάδες 6) </w:t>
      </w:r>
    </w:p>
    <w:p w:rsidR="00D507C9" w:rsidRPr="0041163A" w:rsidRDefault="00D507C9" w:rsidP="00D507C9">
      <w:pPr>
        <w:pStyle w:val="a3"/>
        <w:spacing w:after="0" w:line="360" w:lineRule="auto"/>
        <w:ind w:left="360"/>
        <w:jc w:val="right"/>
        <w:rPr>
          <w:rFonts w:cs="Times New Roman"/>
          <w:b/>
          <w:bCs/>
          <w:sz w:val="22"/>
        </w:rPr>
      </w:pPr>
    </w:p>
    <w:p w:rsidR="00D507C9" w:rsidRPr="0041163A" w:rsidRDefault="00D507C9" w:rsidP="00D507C9">
      <w:pPr>
        <w:pStyle w:val="a3"/>
        <w:numPr>
          <w:ilvl w:val="0"/>
          <w:numId w:val="4"/>
        </w:numPr>
        <w:spacing w:after="0" w:line="360" w:lineRule="auto"/>
        <w:rPr>
          <w:rFonts w:cs="Times New Roman"/>
          <w:b/>
          <w:bCs/>
          <w:sz w:val="22"/>
        </w:rPr>
      </w:pPr>
      <w:r w:rsidRPr="0041163A">
        <w:rPr>
          <w:rFonts w:cs="Times New Roman"/>
          <w:b/>
          <w:i/>
          <w:iCs/>
          <w:sz w:val="22"/>
        </w:rPr>
        <w:t>«Ὑμῶν μέντοι, ἔφη, ὦ ἄνδρες καλοὶ κἀγαθοί, θαυμάζω, εἰ μὴ βοηθήσετε ὑμῖν αὐτοῖς</w:t>
      </w:r>
      <w:r w:rsidRPr="0041163A">
        <w:rPr>
          <w:rFonts w:cs="Times New Roman"/>
          <w:iCs/>
          <w:sz w:val="22"/>
        </w:rPr>
        <w:t>»:</w:t>
      </w:r>
      <w:r w:rsidRPr="0041163A">
        <w:rPr>
          <w:rFonts w:cs="Times New Roman"/>
          <w:b/>
          <w:iCs/>
          <w:sz w:val="22"/>
        </w:rPr>
        <w:t xml:space="preserve"> </w:t>
      </w:r>
      <w:r w:rsidRPr="0041163A">
        <w:rPr>
          <w:rFonts w:cs="Times New Roman"/>
          <w:iCs/>
          <w:sz w:val="22"/>
        </w:rPr>
        <w:t xml:space="preserve">Ποια προειδοποίηση και σε ποιους την απευθύνει ο Θηραμένης; Να τεκμηριώσετε την απάντησή σας.  </w:t>
      </w:r>
    </w:p>
    <w:p w:rsidR="00D507C9" w:rsidRPr="0041163A" w:rsidRDefault="00D507C9" w:rsidP="00D507C9">
      <w:pPr>
        <w:pStyle w:val="a3"/>
        <w:spacing w:before="100" w:beforeAutospacing="1" w:after="240" w:line="360" w:lineRule="auto"/>
        <w:ind w:left="360"/>
        <w:jc w:val="right"/>
        <w:rPr>
          <w:rFonts w:cs="Times New Roman"/>
          <w:b/>
          <w:bCs/>
          <w:sz w:val="22"/>
        </w:rPr>
      </w:pPr>
    </w:p>
    <w:p w:rsidR="00D507C9" w:rsidRPr="0041163A" w:rsidRDefault="00D507C9" w:rsidP="00D507C9">
      <w:pPr>
        <w:pStyle w:val="a3"/>
        <w:numPr>
          <w:ilvl w:val="0"/>
          <w:numId w:val="6"/>
        </w:numPr>
        <w:spacing w:before="100" w:beforeAutospacing="1" w:after="240" w:line="360" w:lineRule="auto"/>
        <w:ind w:left="357" w:hanging="357"/>
        <w:contextualSpacing w:val="0"/>
        <w:rPr>
          <w:rFonts w:eastAsia="Times New Roman" w:cs="Times New Roman"/>
          <w:sz w:val="22"/>
          <w:lang w:eastAsia="el-GR"/>
        </w:rPr>
      </w:pPr>
      <w:r w:rsidRPr="0041163A">
        <w:rPr>
          <w:rFonts w:cs="Times New Roman"/>
          <w:i/>
          <w:sz w:val="22"/>
        </w:rPr>
        <w:t>«Θυμηθήτε, πολίτες —κι όσοι δεν το ξέρετε, μάθετέ το— ότι στο δεξιό εκείνων που πλησιάζουν βρίσκονται αυτοί που εδώ και τέσσερεις μέρες νικήσατε και πήρατε στο κυνήγι. Στο άκρο αριστερό τους πάλι είναι οι ίδιοι οι Τριάντα —αυτοί που δίχως σε τίποτα νάχουμε φταίξει μας εξόριζαν από την πόλη, μας έδιωχναν από τα σπίτια μας κ' έκαναν προγραφές των αγαπημένων μας. Να όμως που τώρα τους έλαχε κάτι που αυτοί ποτέ δεν περίμεναν, ενώ εμείς πάντα το ευχόμασταν— τους αντικρύζουμε με τα όπλα</w:t>
      </w:r>
      <w:r w:rsidRPr="0041163A">
        <w:rPr>
          <w:rFonts w:cs="Times New Roman"/>
          <w:sz w:val="22"/>
        </w:rPr>
        <w:t xml:space="preserve"> </w:t>
      </w:r>
      <w:r w:rsidRPr="0041163A">
        <w:rPr>
          <w:rFonts w:cs="Times New Roman"/>
          <w:i/>
          <w:sz w:val="22"/>
        </w:rPr>
        <w:t>στα χέρια! Κάποτε μας έπιαναν την ώρα που τρώγαμε, την ώρα που κοιμόμασταν, την ώρα που ήμασταν στην Αγορά· άλλοι εξοριστήκαμε όχι μόνο αναίτια, αλλά δίχως να</w:t>
      </w:r>
      <w:r w:rsidRPr="0041163A">
        <w:rPr>
          <w:rFonts w:cs="Times New Roman"/>
          <w:sz w:val="22"/>
        </w:rPr>
        <w:t xml:space="preserve"> </w:t>
      </w:r>
      <w:r w:rsidRPr="0041163A">
        <w:rPr>
          <w:rFonts w:cs="Times New Roman"/>
          <w:i/>
          <w:sz w:val="22"/>
        </w:rPr>
        <w:t xml:space="preserve">βρισκόμαστε καν στην πόλη. Γι' αυτό κ' οι θεοί παίρνουν τώρα φανερά το μέρος μας: μέσα στην καλοκαιρία προκαλούνε θύελλα την ώρα που μας συμφέρει· όταν κάνουμε επιχείρηση, λίγοι εμείς εναντίον πολλών </w:t>
      </w:r>
      <w:r w:rsidRPr="0041163A">
        <w:rPr>
          <w:rFonts w:cs="Times New Roman"/>
          <w:i/>
          <w:sz w:val="22"/>
        </w:rPr>
        <w:lastRenderedPageBreak/>
        <w:t>εχθρών, θριαμβεύουμε χάρη στην εύνοιά τους·</w:t>
      </w:r>
      <w:r w:rsidRPr="0041163A">
        <w:rPr>
          <w:rFonts w:cs="Times New Roman"/>
          <w:sz w:val="22"/>
        </w:rPr>
        <w:t>»</w:t>
      </w:r>
      <w:r w:rsidRPr="0041163A">
        <w:rPr>
          <w:rFonts w:cs="Times New Roman"/>
          <w:i/>
          <w:sz w:val="22"/>
          <w:lang w:eastAsia="el-GR"/>
        </w:rPr>
        <w:t xml:space="preserve"> </w:t>
      </w:r>
      <w:r w:rsidRPr="0041163A">
        <w:rPr>
          <w:rFonts w:eastAsia="Times New Roman" w:cs="Times New Roman"/>
          <w:b/>
          <w:sz w:val="22"/>
          <w:lang w:eastAsia="el-GR"/>
        </w:rPr>
        <w:t xml:space="preserve">Ξενοφῶντος </w:t>
      </w:r>
      <w:r w:rsidRPr="0041163A">
        <w:rPr>
          <w:rFonts w:eastAsia="Times New Roman" w:cs="Times New Roman"/>
          <w:b/>
          <w:i/>
          <w:sz w:val="22"/>
          <w:lang w:eastAsia="el-GR"/>
        </w:rPr>
        <w:t>Ἑλληνικά</w:t>
      </w:r>
      <w:r w:rsidRPr="0041163A">
        <w:rPr>
          <w:rFonts w:eastAsia="Times New Roman" w:cs="Times New Roman"/>
          <w:b/>
          <w:sz w:val="22"/>
          <w:lang w:eastAsia="el-GR"/>
        </w:rPr>
        <w:t>, 4.§13-14</w:t>
      </w:r>
      <w:r w:rsidRPr="0041163A">
        <w:rPr>
          <w:rFonts w:eastAsia="Times New Roman" w:cs="Times New Roman"/>
          <w:sz w:val="22"/>
          <w:lang w:eastAsia="el-GR"/>
        </w:rPr>
        <w:t xml:space="preserve"> (Μετάφραση Ρ. Ρούφος). </w:t>
      </w:r>
    </w:p>
    <w:p w:rsidR="00D507C9" w:rsidRPr="0041163A" w:rsidRDefault="00D507C9" w:rsidP="00D507C9">
      <w:pPr>
        <w:pStyle w:val="a3"/>
        <w:spacing w:before="100" w:beforeAutospacing="1" w:after="0" w:line="360" w:lineRule="auto"/>
        <w:ind w:left="360"/>
        <w:contextualSpacing w:val="0"/>
        <w:rPr>
          <w:rFonts w:cs="Times New Roman"/>
          <w:bCs/>
          <w:sz w:val="22"/>
        </w:rPr>
      </w:pPr>
      <w:r w:rsidRPr="0041163A">
        <w:rPr>
          <w:rFonts w:cs="Times New Roman"/>
          <w:bCs/>
          <w:sz w:val="22"/>
        </w:rPr>
        <w:t xml:space="preserve">Αφού διαβάσετε με προσοχή και </w:t>
      </w:r>
      <w:r w:rsidRPr="0041163A">
        <w:rPr>
          <w:rFonts w:cs="Times New Roman"/>
          <w:bCs/>
          <w:sz w:val="22"/>
          <w:u w:val="single"/>
        </w:rPr>
        <w:t>τα δύο κείμενα</w:t>
      </w:r>
      <w:r w:rsidRPr="0041163A">
        <w:rPr>
          <w:rFonts w:cs="Times New Roman"/>
          <w:bCs/>
          <w:sz w:val="22"/>
        </w:rPr>
        <w:t xml:space="preserve"> (πρωτότυπο και μεταφρασμένο) </w:t>
      </w:r>
      <w:r w:rsidRPr="0041163A">
        <w:rPr>
          <w:rFonts w:cs="Times New Roman"/>
          <w:bCs/>
          <w:sz w:val="22"/>
          <w:u w:val="single"/>
        </w:rPr>
        <w:t>που σας έχουν δοθεί</w:t>
      </w:r>
      <w:r w:rsidRPr="0041163A">
        <w:rPr>
          <w:rFonts w:cs="Times New Roman"/>
          <w:bCs/>
          <w:sz w:val="22"/>
        </w:rPr>
        <w:t xml:space="preserve">, να καταγράψετε τις ενέργειες που φανερώνουν ότι οι Τριάκοντα ήταν ασεβείς και αυθαιρετούσαν. </w:t>
      </w:r>
    </w:p>
    <w:p w:rsidR="00D507C9" w:rsidRPr="0041163A" w:rsidRDefault="00D507C9" w:rsidP="00D507C9">
      <w:pPr>
        <w:pStyle w:val="a3"/>
        <w:numPr>
          <w:ilvl w:val="0"/>
          <w:numId w:val="2"/>
        </w:numPr>
        <w:spacing w:after="0" w:line="360" w:lineRule="auto"/>
        <w:ind w:left="357"/>
        <w:rPr>
          <w:rFonts w:cs="Times New Roman"/>
          <w:sz w:val="22"/>
        </w:rPr>
      </w:pPr>
      <w:r w:rsidRPr="0041163A">
        <w:rPr>
          <w:rFonts w:cs="Times New Roman"/>
          <w:sz w:val="22"/>
        </w:rPr>
        <w:t xml:space="preserve">Να αντιστοιχίσετε καθεμία αρχαιοελληνική λέξη της στήλης Α με την </w:t>
      </w:r>
      <w:r w:rsidRPr="0041163A">
        <w:rPr>
          <w:rFonts w:cs="Times New Roman"/>
          <w:b/>
          <w:bCs/>
          <w:sz w:val="22"/>
        </w:rPr>
        <w:t>ετυμολογικά συγγενή</w:t>
      </w:r>
      <w:r w:rsidRPr="0041163A">
        <w:rPr>
          <w:rFonts w:cs="Times New Roman"/>
          <w:sz w:val="22"/>
        </w:rPr>
        <w:t xml:space="preserve"> της νεοελληνική λέξη της στήλης Β. Δύο λέξεις στη στήλη Β περισσεύουν.</w:t>
      </w: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48"/>
        <w:gridCol w:w="2649"/>
      </w:tblGrid>
      <w:tr w:rsidR="00D507C9" w:rsidRPr="0041163A" w:rsidTr="00EC14CD">
        <w:tc>
          <w:tcPr>
            <w:tcW w:w="2648" w:type="dxa"/>
          </w:tcPr>
          <w:p w:rsidR="00D507C9" w:rsidRPr="0041163A" w:rsidRDefault="00D507C9" w:rsidP="00EC14CD">
            <w:pPr>
              <w:pStyle w:val="a3"/>
              <w:spacing w:line="360" w:lineRule="auto"/>
              <w:ind w:left="357"/>
              <w:jc w:val="center"/>
              <w:rPr>
                <w:rFonts w:cs="Times New Roman"/>
                <w:b/>
                <w:bCs/>
                <w:sz w:val="22"/>
              </w:rPr>
            </w:pPr>
            <w:r w:rsidRPr="0041163A">
              <w:rPr>
                <w:rFonts w:cs="Times New Roman"/>
                <w:b/>
                <w:bCs/>
                <w:sz w:val="22"/>
              </w:rPr>
              <w:t>Α</w:t>
            </w:r>
          </w:p>
        </w:tc>
        <w:tc>
          <w:tcPr>
            <w:tcW w:w="2649" w:type="dxa"/>
          </w:tcPr>
          <w:p w:rsidR="00D507C9" w:rsidRPr="0041163A" w:rsidRDefault="00D507C9" w:rsidP="00EC14CD">
            <w:pPr>
              <w:pStyle w:val="a3"/>
              <w:spacing w:line="360" w:lineRule="auto"/>
              <w:ind w:left="357"/>
              <w:jc w:val="center"/>
              <w:rPr>
                <w:rFonts w:cs="Times New Roman"/>
                <w:b/>
                <w:bCs/>
                <w:sz w:val="22"/>
              </w:rPr>
            </w:pPr>
            <w:r w:rsidRPr="0041163A">
              <w:rPr>
                <w:rFonts w:cs="Times New Roman"/>
                <w:b/>
                <w:bCs/>
                <w:sz w:val="22"/>
              </w:rPr>
              <w:t>Β</w:t>
            </w:r>
          </w:p>
        </w:tc>
      </w:tr>
      <w:tr w:rsidR="00D507C9" w:rsidRPr="0041163A" w:rsidTr="00EC14CD">
        <w:tc>
          <w:tcPr>
            <w:tcW w:w="2648" w:type="dxa"/>
          </w:tcPr>
          <w:p w:rsidR="00D507C9" w:rsidRPr="0041163A" w:rsidRDefault="00D507C9" w:rsidP="00EC14CD">
            <w:pPr>
              <w:pStyle w:val="a3"/>
              <w:spacing w:line="360" w:lineRule="auto"/>
              <w:ind w:left="357"/>
              <w:rPr>
                <w:rFonts w:cs="Times New Roman"/>
                <w:b/>
                <w:bCs/>
                <w:i/>
                <w:iCs/>
                <w:sz w:val="22"/>
              </w:rPr>
            </w:pPr>
          </w:p>
          <w:p w:rsidR="00D507C9" w:rsidRPr="0041163A" w:rsidRDefault="00D507C9" w:rsidP="00EC14CD">
            <w:pPr>
              <w:pStyle w:val="a3"/>
              <w:numPr>
                <w:ilvl w:val="0"/>
                <w:numId w:val="3"/>
              </w:numPr>
              <w:spacing w:line="360" w:lineRule="auto"/>
              <w:rPr>
                <w:rFonts w:cs="Times New Roman"/>
                <w:b/>
                <w:bCs/>
                <w:i/>
                <w:iCs/>
                <w:sz w:val="22"/>
              </w:rPr>
            </w:pPr>
            <w:r w:rsidRPr="0041163A">
              <w:rPr>
                <w:rFonts w:cs="Times New Roman"/>
                <w:b/>
                <w:bCs/>
                <w:i/>
                <w:iCs/>
                <w:sz w:val="22"/>
              </w:rPr>
              <w:t>ἔγραψαν</w:t>
            </w:r>
          </w:p>
          <w:p w:rsidR="00D507C9" w:rsidRPr="0041163A" w:rsidRDefault="00D507C9" w:rsidP="00EC14CD">
            <w:pPr>
              <w:pStyle w:val="a3"/>
              <w:numPr>
                <w:ilvl w:val="0"/>
                <w:numId w:val="3"/>
              </w:numPr>
              <w:spacing w:line="360" w:lineRule="auto"/>
              <w:rPr>
                <w:rFonts w:cs="Times New Roman"/>
                <w:b/>
                <w:bCs/>
                <w:i/>
                <w:iCs/>
                <w:sz w:val="22"/>
              </w:rPr>
            </w:pPr>
            <w:r w:rsidRPr="0041163A">
              <w:rPr>
                <w:rFonts w:cs="Times New Roman"/>
                <w:b/>
                <w:bCs/>
                <w:i/>
                <w:iCs/>
                <w:sz w:val="22"/>
              </w:rPr>
              <w:t>κρίσιν</w:t>
            </w:r>
          </w:p>
          <w:p w:rsidR="00D507C9" w:rsidRPr="0041163A" w:rsidRDefault="00D507C9" w:rsidP="00EC14CD">
            <w:pPr>
              <w:pStyle w:val="a3"/>
              <w:numPr>
                <w:ilvl w:val="0"/>
                <w:numId w:val="3"/>
              </w:numPr>
              <w:spacing w:line="360" w:lineRule="auto"/>
              <w:rPr>
                <w:rFonts w:cs="Times New Roman"/>
                <w:b/>
                <w:bCs/>
                <w:i/>
                <w:iCs/>
                <w:sz w:val="22"/>
              </w:rPr>
            </w:pPr>
            <w:r w:rsidRPr="0041163A">
              <w:rPr>
                <w:rFonts w:cs="Times New Roman"/>
                <w:b/>
                <w:bCs/>
                <w:i/>
                <w:iCs/>
                <w:sz w:val="22"/>
              </w:rPr>
              <w:t>γιγνώσκοντες</w:t>
            </w:r>
          </w:p>
          <w:p w:rsidR="00D507C9" w:rsidRPr="0041163A" w:rsidRDefault="00D507C9" w:rsidP="00EC14CD">
            <w:pPr>
              <w:pStyle w:val="a3"/>
              <w:numPr>
                <w:ilvl w:val="0"/>
                <w:numId w:val="3"/>
              </w:numPr>
              <w:spacing w:line="360" w:lineRule="auto"/>
              <w:rPr>
                <w:rFonts w:cs="Times New Roman"/>
                <w:b/>
                <w:bCs/>
                <w:i/>
                <w:iCs/>
                <w:sz w:val="22"/>
              </w:rPr>
            </w:pPr>
            <w:r w:rsidRPr="0041163A">
              <w:rPr>
                <w:rFonts w:cs="Times New Roman"/>
                <w:b/>
                <w:bCs/>
                <w:i/>
                <w:iCs/>
                <w:sz w:val="22"/>
              </w:rPr>
              <w:t>κῆρυξ</w:t>
            </w:r>
          </w:p>
          <w:p w:rsidR="00D507C9" w:rsidRPr="0041163A" w:rsidRDefault="00D507C9" w:rsidP="00EC14CD">
            <w:pPr>
              <w:pStyle w:val="a3"/>
              <w:numPr>
                <w:ilvl w:val="0"/>
                <w:numId w:val="3"/>
              </w:numPr>
              <w:spacing w:line="360" w:lineRule="auto"/>
              <w:rPr>
                <w:rFonts w:cs="Times New Roman"/>
                <w:b/>
                <w:bCs/>
                <w:i/>
                <w:iCs/>
                <w:sz w:val="22"/>
              </w:rPr>
            </w:pPr>
            <w:r w:rsidRPr="0041163A">
              <w:rPr>
                <w:rFonts w:cs="Times New Roman"/>
                <w:b/>
                <w:bCs/>
                <w:i/>
                <w:iCs/>
                <w:sz w:val="22"/>
              </w:rPr>
              <w:t>ἀπαγαγόντες</w:t>
            </w:r>
          </w:p>
        </w:tc>
        <w:tc>
          <w:tcPr>
            <w:tcW w:w="2649" w:type="dxa"/>
          </w:tcPr>
          <w:p w:rsidR="00D507C9" w:rsidRPr="0041163A" w:rsidRDefault="00D507C9" w:rsidP="00EC14CD">
            <w:pPr>
              <w:pStyle w:val="a3"/>
              <w:spacing w:line="360" w:lineRule="auto"/>
              <w:ind w:left="357"/>
              <w:rPr>
                <w:rFonts w:cs="Times New Roman"/>
                <w:sz w:val="22"/>
              </w:rPr>
            </w:pPr>
            <w:r w:rsidRPr="0041163A">
              <w:rPr>
                <w:rFonts w:cs="Times New Roman"/>
                <w:sz w:val="22"/>
              </w:rPr>
              <w:t xml:space="preserve">α. διακριτικός </w:t>
            </w:r>
          </w:p>
          <w:p w:rsidR="00D507C9" w:rsidRPr="0041163A" w:rsidRDefault="00D507C9" w:rsidP="00EC14CD">
            <w:pPr>
              <w:pStyle w:val="a3"/>
              <w:spacing w:line="360" w:lineRule="auto"/>
              <w:ind w:left="357"/>
              <w:rPr>
                <w:rFonts w:cs="Times New Roman"/>
                <w:sz w:val="22"/>
              </w:rPr>
            </w:pPr>
            <w:r w:rsidRPr="0041163A">
              <w:rPr>
                <w:rFonts w:cs="Times New Roman"/>
                <w:sz w:val="22"/>
              </w:rPr>
              <w:t xml:space="preserve">β. προκήρυξη </w:t>
            </w:r>
          </w:p>
          <w:p w:rsidR="00D507C9" w:rsidRPr="0041163A" w:rsidRDefault="00D507C9" w:rsidP="00EC14CD">
            <w:pPr>
              <w:pStyle w:val="a3"/>
              <w:spacing w:line="360" w:lineRule="auto"/>
              <w:ind w:left="357"/>
              <w:rPr>
                <w:rFonts w:cs="Times New Roman"/>
                <w:sz w:val="22"/>
              </w:rPr>
            </w:pPr>
            <w:r w:rsidRPr="0041163A">
              <w:rPr>
                <w:rFonts w:cs="Times New Roman"/>
                <w:sz w:val="22"/>
              </w:rPr>
              <w:t xml:space="preserve">γ. σύγγραμμα </w:t>
            </w:r>
          </w:p>
          <w:p w:rsidR="00D507C9" w:rsidRPr="0041163A" w:rsidRDefault="00D507C9" w:rsidP="00EC14CD">
            <w:pPr>
              <w:pStyle w:val="a3"/>
              <w:spacing w:line="360" w:lineRule="auto"/>
              <w:ind w:left="357"/>
              <w:rPr>
                <w:rFonts w:cs="Times New Roman"/>
                <w:sz w:val="22"/>
              </w:rPr>
            </w:pPr>
            <w:r w:rsidRPr="0041163A">
              <w:rPr>
                <w:rFonts w:cs="Times New Roman"/>
                <w:sz w:val="22"/>
              </w:rPr>
              <w:t>δ. κρίνος</w:t>
            </w:r>
          </w:p>
          <w:p w:rsidR="00D507C9" w:rsidRPr="0041163A" w:rsidRDefault="00D507C9" w:rsidP="00EC14CD">
            <w:pPr>
              <w:pStyle w:val="a3"/>
              <w:spacing w:line="360" w:lineRule="auto"/>
              <w:ind w:left="357"/>
              <w:rPr>
                <w:rFonts w:cs="Times New Roman"/>
                <w:sz w:val="22"/>
              </w:rPr>
            </w:pPr>
            <w:r w:rsidRPr="0041163A">
              <w:rPr>
                <w:rFonts w:cs="Times New Roman"/>
                <w:sz w:val="22"/>
              </w:rPr>
              <w:t xml:space="preserve">ε. απογοήτευση </w:t>
            </w:r>
          </w:p>
          <w:p w:rsidR="00D507C9" w:rsidRPr="0041163A" w:rsidRDefault="00D507C9" w:rsidP="00EC14CD">
            <w:pPr>
              <w:pStyle w:val="a3"/>
              <w:spacing w:line="360" w:lineRule="auto"/>
              <w:ind w:left="357"/>
              <w:rPr>
                <w:rFonts w:cs="Times New Roman"/>
                <w:sz w:val="22"/>
              </w:rPr>
            </w:pPr>
            <w:r w:rsidRPr="0041163A">
              <w:rPr>
                <w:rFonts w:cs="Times New Roman"/>
                <w:sz w:val="22"/>
              </w:rPr>
              <w:t xml:space="preserve">ζ. στρατηγός </w:t>
            </w:r>
          </w:p>
          <w:p w:rsidR="00D507C9" w:rsidRPr="0041163A" w:rsidRDefault="00D507C9" w:rsidP="00EC14CD">
            <w:pPr>
              <w:pStyle w:val="a3"/>
              <w:spacing w:line="360" w:lineRule="auto"/>
              <w:ind w:left="357"/>
              <w:rPr>
                <w:rFonts w:cs="Times New Roman"/>
                <w:sz w:val="22"/>
              </w:rPr>
            </w:pPr>
            <w:r w:rsidRPr="0041163A">
              <w:rPr>
                <w:rFonts w:cs="Times New Roman"/>
                <w:sz w:val="22"/>
              </w:rPr>
              <w:t xml:space="preserve">η. διάγνωση </w:t>
            </w:r>
          </w:p>
        </w:tc>
      </w:tr>
    </w:tbl>
    <w:p w:rsidR="00D507C9" w:rsidRPr="0041163A" w:rsidRDefault="00D507C9" w:rsidP="00D507C9">
      <w:pPr>
        <w:pStyle w:val="a3"/>
        <w:spacing w:before="100" w:beforeAutospacing="1" w:after="0" w:line="360" w:lineRule="auto"/>
        <w:ind w:left="360"/>
        <w:contextualSpacing w:val="0"/>
        <w:rPr>
          <w:rFonts w:eastAsia="Times New Roman" w:cs="Times New Roman"/>
          <w:sz w:val="22"/>
          <w:lang w:eastAsia="el-GR"/>
        </w:rPr>
      </w:pPr>
    </w:p>
    <w:p w:rsidR="00D507C9" w:rsidRPr="00AA5775" w:rsidRDefault="00D507C9" w:rsidP="00D507C9">
      <w:pPr>
        <w:pStyle w:val="a3"/>
        <w:numPr>
          <w:ilvl w:val="0"/>
          <w:numId w:val="5"/>
        </w:numPr>
        <w:spacing w:after="0" w:line="360" w:lineRule="auto"/>
        <w:rPr>
          <w:rFonts w:cs="Times New Roman"/>
          <w:sz w:val="22"/>
        </w:rPr>
      </w:pPr>
      <w:r w:rsidRPr="00AA5775">
        <w:rPr>
          <w:rFonts w:cs="Times New Roman"/>
          <w:b/>
          <w:i/>
          <w:sz w:val="22"/>
        </w:rPr>
        <w:t>ἔγραψαν</w:t>
      </w:r>
      <w:r w:rsidRPr="00AA5775">
        <w:rPr>
          <w:rFonts w:cs="Times New Roman"/>
          <w:sz w:val="22"/>
        </w:rPr>
        <w:t>,</w:t>
      </w:r>
      <w:r w:rsidRPr="00AA5775">
        <w:rPr>
          <w:rFonts w:cs="Times New Roman"/>
          <w:b/>
          <w:i/>
          <w:sz w:val="22"/>
        </w:rPr>
        <w:t xml:space="preserve"> βοηθήσετε</w:t>
      </w:r>
      <w:r w:rsidRPr="00AA5775">
        <w:rPr>
          <w:rFonts w:cs="Times New Roman"/>
          <w:sz w:val="22"/>
        </w:rPr>
        <w:t>,</w:t>
      </w:r>
      <w:r w:rsidRPr="00AA5775">
        <w:rPr>
          <w:rFonts w:cs="Times New Roman"/>
          <w:b/>
          <w:i/>
          <w:sz w:val="22"/>
        </w:rPr>
        <w:t xml:space="preserve"> ἐκέλευσε</w:t>
      </w:r>
      <w:r w:rsidRPr="00AA5775">
        <w:rPr>
          <w:rFonts w:cs="Times New Roman"/>
          <w:sz w:val="22"/>
        </w:rPr>
        <w:t>,</w:t>
      </w:r>
      <w:r w:rsidRPr="00AA5775">
        <w:rPr>
          <w:rFonts w:cs="Times New Roman"/>
          <w:b/>
          <w:i/>
          <w:sz w:val="22"/>
        </w:rPr>
        <w:t xml:space="preserve"> εἶπε</w:t>
      </w:r>
      <w:r w:rsidRPr="00AA5775">
        <w:rPr>
          <w:rFonts w:cs="Times New Roman"/>
          <w:sz w:val="22"/>
        </w:rPr>
        <w:t>,</w:t>
      </w:r>
      <w:r w:rsidRPr="00AA5775">
        <w:rPr>
          <w:rFonts w:cs="Times New Roman"/>
          <w:b/>
          <w:i/>
          <w:sz w:val="22"/>
        </w:rPr>
        <w:t xml:space="preserve"> κατακεκριμένον</w:t>
      </w:r>
      <w:r w:rsidRPr="00AA5775">
        <w:rPr>
          <w:rFonts w:cs="Times New Roman"/>
          <w:sz w:val="22"/>
        </w:rPr>
        <w:t xml:space="preserve">: να γράψετε τον αντίστοιχο τύπο στον ενεστώτα στην ίδια φωνή. </w:t>
      </w:r>
    </w:p>
    <w:p w:rsidR="00AA5775" w:rsidRPr="00AA5775" w:rsidRDefault="00AA5775" w:rsidP="00AA5775">
      <w:pPr>
        <w:pStyle w:val="a3"/>
        <w:numPr>
          <w:ilvl w:val="0"/>
          <w:numId w:val="5"/>
        </w:numPr>
        <w:spacing w:after="0" w:line="360" w:lineRule="auto"/>
        <w:rPr>
          <w:rFonts w:cs="Times New Roman"/>
          <w:bCs/>
          <w:i/>
          <w:sz w:val="22"/>
        </w:rPr>
      </w:pPr>
      <w:r w:rsidRPr="00AA5775">
        <w:rPr>
          <w:rFonts w:cs="Times New Roman"/>
          <w:bCs/>
          <w:sz w:val="22"/>
        </w:rPr>
        <w:t>Να αναγνωρίσετε τη συντακτική λειτουργία των λέξεων/φράσεων και της πρότασης που ακολουθεί (δεν χρειάζεται να αναγνωρίσετε την εισαγωγή και εκφορά της) :</w:t>
      </w:r>
      <w:r w:rsidRPr="00AA5775">
        <w:rPr>
          <w:rFonts w:cs="Times New Roman"/>
          <w:b/>
          <w:bCs/>
          <w:i/>
          <w:sz w:val="22"/>
        </w:rPr>
        <w:t xml:space="preserve"> </w:t>
      </w:r>
      <w:r w:rsidRPr="00AA5775">
        <w:rPr>
          <w:rFonts w:cs="Times New Roman"/>
          <w:iCs/>
          <w:sz w:val="22"/>
        </w:rPr>
        <w:t>α)</w:t>
      </w:r>
      <w:r w:rsidRPr="00AA5775">
        <w:rPr>
          <w:rFonts w:cs="Times New Roman"/>
          <w:b/>
          <w:bCs/>
          <w:i/>
          <w:sz w:val="22"/>
        </w:rPr>
        <w:t xml:space="preserve"> περί τῶν ἐν τῷ καταλόγω</w:t>
      </w:r>
      <w:r w:rsidRPr="00AA5775">
        <w:rPr>
          <w:rFonts w:cs="Times New Roman"/>
          <w:iCs/>
          <w:sz w:val="22"/>
        </w:rPr>
        <w:t>,</w:t>
      </w:r>
      <w:r w:rsidRPr="00AA5775">
        <w:rPr>
          <w:rFonts w:cs="Times New Roman"/>
          <w:b/>
          <w:bCs/>
          <w:i/>
          <w:sz w:val="22"/>
        </w:rPr>
        <w:t xml:space="preserve"> </w:t>
      </w:r>
      <w:r w:rsidRPr="00AA5775">
        <w:rPr>
          <w:rFonts w:cs="Times New Roman"/>
          <w:iCs/>
          <w:sz w:val="22"/>
        </w:rPr>
        <w:t>β)</w:t>
      </w:r>
      <w:r w:rsidRPr="00AA5775">
        <w:rPr>
          <w:rFonts w:cs="Times New Roman"/>
          <w:b/>
          <w:bCs/>
          <w:i/>
          <w:sz w:val="22"/>
        </w:rPr>
        <w:t xml:space="preserve"> ὅτι οὐδέν μοι ἀρκέσει ὅδε ὁ βωμός</w:t>
      </w:r>
      <w:r w:rsidRPr="00AA5775">
        <w:rPr>
          <w:rFonts w:cs="Times New Roman"/>
          <w:iCs/>
          <w:sz w:val="22"/>
        </w:rPr>
        <w:t>,</w:t>
      </w:r>
      <w:r w:rsidRPr="00AA5775">
        <w:rPr>
          <w:rFonts w:cs="Times New Roman"/>
          <w:b/>
          <w:bCs/>
          <w:i/>
          <w:sz w:val="22"/>
        </w:rPr>
        <w:t xml:space="preserve"> </w:t>
      </w:r>
      <w:r w:rsidRPr="00AA5775">
        <w:rPr>
          <w:rFonts w:cs="Times New Roman"/>
          <w:iCs/>
          <w:sz w:val="22"/>
        </w:rPr>
        <w:t>γ)</w:t>
      </w:r>
      <w:r w:rsidRPr="00AA5775">
        <w:rPr>
          <w:rFonts w:cs="Times New Roman"/>
          <w:b/>
          <w:bCs/>
          <w:i/>
          <w:sz w:val="22"/>
        </w:rPr>
        <w:t xml:space="preserve"> έπιδεῖξαι, </w:t>
      </w:r>
      <w:r w:rsidRPr="00AA5775">
        <w:rPr>
          <w:rFonts w:cs="Times New Roman"/>
          <w:iCs/>
          <w:sz w:val="22"/>
        </w:rPr>
        <w:t>δ)</w:t>
      </w:r>
      <w:r w:rsidRPr="00AA5775">
        <w:rPr>
          <w:rFonts w:cs="Times New Roman"/>
          <w:b/>
          <w:bCs/>
          <w:i/>
          <w:sz w:val="22"/>
        </w:rPr>
        <w:t xml:space="preserve"> ἀσεβέστατοι,  </w:t>
      </w:r>
      <w:r w:rsidRPr="00AA5775">
        <w:rPr>
          <w:rFonts w:cs="Times New Roman"/>
          <w:iCs/>
          <w:sz w:val="22"/>
        </w:rPr>
        <w:t>ε)</w:t>
      </w:r>
      <w:r w:rsidRPr="00AA5775">
        <w:rPr>
          <w:rFonts w:cs="Times New Roman"/>
          <w:b/>
          <w:bCs/>
          <w:i/>
          <w:sz w:val="22"/>
        </w:rPr>
        <w:t xml:space="preserve"> ὑμῖν</w:t>
      </w:r>
      <w:r w:rsidRPr="00AA5775">
        <w:rPr>
          <w:rFonts w:cs="Times New Roman"/>
          <w:bCs/>
          <w:sz w:val="22"/>
        </w:rPr>
        <w:t>.</w:t>
      </w:r>
    </w:p>
    <w:p w:rsidR="00AA5775" w:rsidRPr="0041163A" w:rsidRDefault="00AA5775" w:rsidP="00AA5775">
      <w:pPr>
        <w:pStyle w:val="a3"/>
        <w:spacing w:after="0" w:line="360" w:lineRule="auto"/>
        <w:ind w:left="360"/>
        <w:rPr>
          <w:rFonts w:cs="Times New Roman"/>
          <w:sz w:val="22"/>
        </w:rPr>
      </w:pPr>
    </w:p>
    <w:p w:rsidR="00D507C9" w:rsidRPr="0041163A" w:rsidRDefault="00D507C9" w:rsidP="00D507C9">
      <w:pPr>
        <w:spacing w:after="0" w:line="360" w:lineRule="auto"/>
        <w:rPr>
          <w:rFonts w:cs="Times New Roman"/>
          <w:b/>
          <w:bCs/>
          <w:sz w:val="22"/>
        </w:rPr>
      </w:pPr>
    </w:p>
    <w:p w:rsidR="00450FBC" w:rsidRPr="0041163A" w:rsidRDefault="00450FBC" w:rsidP="00450FBC">
      <w:pPr>
        <w:pStyle w:val="a3"/>
        <w:numPr>
          <w:ilvl w:val="0"/>
          <w:numId w:val="7"/>
        </w:numPr>
        <w:spacing w:after="0" w:line="360" w:lineRule="auto"/>
        <w:ind w:left="357" w:hanging="357"/>
        <w:rPr>
          <w:rFonts w:cs="Times New Roman"/>
          <w:sz w:val="22"/>
        </w:rPr>
      </w:pPr>
      <w:r w:rsidRPr="0041163A">
        <w:rPr>
          <w:rFonts w:cs="Times New Roman"/>
          <w:sz w:val="22"/>
        </w:rPr>
        <w:t xml:space="preserve">Να συνδέσετε </w:t>
      </w:r>
      <w:r w:rsidRPr="0041163A">
        <w:rPr>
          <w:rFonts w:cs="Times New Roman"/>
          <w:bCs/>
          <w:sz w:val="22"/>
        </w:rPr>
        <w:t>καθεμία από τις φράσεις της στήλης Α με μία φράση της στήλης Β, ώστε να συμπληρώνεται ορθά το νόημά της.</w:t>
      </w:r>
      <w:r w:rsidRPr="0041163A">
        <w:rPr>
          <w:rFonts w:cs="Times New Roman"/>
          <w:sz w:val="22"/>
        </w:rPr>
        <w:t xml:space="preserve"> Δύο φράσεις της στήλης Β περισσεύουν.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3"/>
        <w:gridCol w:w="3949"/>
      </w:tblGrid>
      <w:tr w:rsidR="00450FBC" w:rsidRPr="0041163A" w:rsidTr="00EC14CD">
        <w:tc>
          <w:tcPr>
            <w:tcW w:w="0" w:type="auto"/>
            <w:tcBorders>
              <w:top w:val="single" w:sz="4" w:space="0" w:color="auto"/>
              <w:left w:val="single" w:sz="4" w:space="0" w:color="auto"/>
              <w:bottom w:val="single" w:sz="4" w:space="0" w:color="auto"/>
              <w:right w:val="single" w:sz="4" w:space="0" w:color="auto"/>
            </w:tcBorders>
            <w:hideMark/>
          </w:tcPr>
          <w:p w:rsidR="00450FBC" w:rsidRPr="0041163A" w:rsidRDefault="00450FBC" w:rsidP="00EC14CD">
            <w:pPr>
              <w:spacing w:line="360" w:lineRule="auto"/>
              <w:jc w:val="center"/>
              <w:rPr>
                <w:rFonts w:eastAsia="Calibri" w:cs="Times New Roman"/>
                <w:b/>
                <w:bCs/>
                <w:sz w:val="22"/>
                <w:lang w:eastAsia="el-GR"/>
              </w:rPr>
            </w:pPr>
            <w:r w:rsidRPr="0041163A">
              <w:rPr>
                <w:rFonts w:eastAsia="Calibri" w:cs="Times New Roman"/>
                <w:b/>
                <w:bCs/>
                <w:sz w:val="22"/>
                <w:lang w:eastAsia="el-GR"/>
              </w:rPr>
              <w:t>Α</w:t>
            </w:r>
          </w:p>
        </w:tc>
        <w:tc>
          <w:tcPr>
            <w:tcW w:w="0" w:type="auto"/>
            <w:tcBorders>
              <w:top w:val="single" w:sz="4" w:space="0" w:color="auto"/>
              <w:left w:val="single" w:sz="4" w:space="0" w:color="auto"/>
              <w:bottom w:val="single" w:sz="4" w:space="0" w:color="auto"/>
              <w:right w:val="single" w:sz="4" w:space="0" w:color="auto"/>
            </w:tcBorders>
            <w:hideMark/>
          </w:tcPr>
          <w:p w:rsidR="00450FBC" w:rsidRPr="0041163A" w:rsidRDefault="00450FBC" w:rsidP="00EC14CD">
            <w:pPr>
              <w:spacing w:line="360" w:lineRule="auto"/>
              <w:jc w:val="center"/>
              <w:rPr>
                <w:rFonts w:eastAsia="Calibri" w:cs="Times New Roman"/>
                <w:b/>
                <w:bCs/>
                <w:sz w:val="22"/>
                <w:lang w:eastAsia="el-GR"/>
              </w:rPr>
            </w:pPr>
            <w:r w:rsidRPr="0041163A">
              <w:rPr>
                <w:rFonts w:eastAsia="Calibri" w:cs="Times New Roman"/>
                <w:b/>
                <w:bCs/>
                <w:sz w:val="22"/>
                <w:lang w:eastAsia="el-GR"/>
              </w:rPr>
              <w:t>Β</w:t>
            </w:r>
          </w:p>
        </w:tc>
      </w:tr>
      <w:tr w:rsidR="00450FBC" w:rsidRPr="0041163A" w:rsidTr="00EC14CD">
        <w:tc>
          <w:tcPr>
            <w:tcW w:w="0" w:type="auto"/>
            <w:tcBorders>
              <w:top w:val="single" w:sz="4" w:space="0" w:color="auto"/>
              <w:left w:val="single" w:sz="4" w:space="0" w:color="auto"/>
              <w:bottom w:val="single" w:sz="4" w:space="0" w:color="auto"/>
              <w:right w:val="single" w:sz="4" w:space="0" w:color="auto"/>
            </w:tcBorders>
          </w:tcPr>
          <w:p w:rsidR="00450FBC" w:rsidRPr="0041163A" w:rsidRDefault="00450FBC" w:rsidP="00450FBC">
            <w:pPr>
              <w:numPr>
                <w:ilvl w:val="0"/>
                <w:numId w:val="8"/>
              </w:numPr>
              <w:spacing w:after="0" w:line="360" w:lineRule="auto"/>
              <w:ind w:left="357" w:hanging="357"/>
              <w:contextualSpacing w:val="0"/>
              <w:rPr>
                <w:rFonts w:eastAsia="Calibri" w:cs="Times New Roman"/>
                <w:sz w:val="22"/>
                <w:lang w:eastAsia="el-GR"/>
              </w:rPr>
            </w:pPr>
            <w:r w:rsidRPr="0041163A">
              <w:rPr>
                <w:rFonts w:eastAsia="Calibri" w:cs="Times New Roman"/>
                <w:sz w:val="22"/>
                <w:lang w:val="en-US" w:eastAsia="el-GR"/>
              </w:rPr>
              <w:t>O</w:t>
            </w:r>
            <w:r w:rsidRPr="0041163A">
              <w:rPr>
                <w:rFonts w:eastAsia="Calibri" w:cs="Times New Roman"/>
                <w:sz w:val="22"/>
                <w:lang w:eastAsia="el-GR"/>
              </w:rPr>
              <w:t xml:space="preserve"> Ξενοφώντας δέχτηκε μεγάλη επίδραση στην προσωπικότητα και στις ιδέες του από</w:t>
            </w:r>
          </w:p>
          <w:p w:rsidR="00450FBC" w:rsidRPr="0041163A" w:rsidRDefault="00450FBC" w:rsidP="00450FBC">
            <w:pPr>
              <w:numPr>
                <w:ilvl w:val="0"/>
                <w:numId w:val="8"/>
              </w:numPr>
              <w:spacing w:after="0" w:line="360" w:lineRule="auto"/>
              <w:ind w:left="357" w:hanging="357"/>
              <w:contextualSpacing w:val="0"/>
              <w:rPr>
                <w:rFonts w:eastAsia="Calibri" w:cs="Times New Roman"/>
                <w:sz w:val="22"/>
                <w:lang w:eastAsia="el-GR"/>
              </w:rPr>
            </w:pPr>
            <w:r w:rsidRPr="0041163A">
              <w:rPr>
                <w:rFonts w:eastAsia="Calibri" w:cs="Times New Roman"/>
                <w:sz w:val="22"/>
                <w:lang w:eastAsia="el-GR"/>
              </w:rPr>
              <w:t>Η χρονολόγηση των έργων του Ξενοφώντα στηρίζεται σε</w:t>
            </w:r>
          </w:p>
          <w:p w:rsidR="00450FBC" w:rsidRPr="0041163A" w:rsidRDefault="00450FBC" w:rsidP="00450FBC">
            <w:pPr>
              <w:numPr>
                <w:ilvl w:val="0"/>
                <w:numId w:val="8"/>
              </w:numPr>
              <w:spacing w:after="0" w:line="360" w:lineRule="auto"/>
              <w:ind w:left="357" w:hanging="357"/>
              <w:contextualSpacing w:val="0"/>
              <w:rPr>
                <w:rFonts w:eastAsia="Calibri" w:cs="Times New Roman"/>
                <w:sz w:val="22"/>
                <w:lang w:eastAsia="el-GR"/>
              </w:rPr>
            </w:pPr>
            <w:r w:rsidRPr="0041163A">
              <w:rPr>
                <w:rFonts w:eastAsia="Calibri" w:cs="Times New Roman"/>
                <w:sz w:val="22"/>
                <w:lang w:eastAsia="el-GR"/>
              </w:rPr>
              <w:t>Τα έργα του Ξενοφώντα διακρίνονται σε</w:t>
            </w:r>
          </w:p>
          <w:p w:rsidR="00450FBC" w:rsidRPr="0041163A" w:rsidRDefault="00450FBC" w:rsidP="00450FBC">
            <w:pPr>
              <w:numPr>
                <w:ilvl w:val="0"/>
                <w:numId w:val="8"/>
              </w:numPr>
              <w:spacing w:after="0" w:line="360" w:lineRule="auto"/>
              <w:ind w:left="357" w:hanging="357"/>
              <w:contextualSpacing w:val="0"/>
              <w:rPr>
                <w:rFonts w:eastAsia="Calibri" w:cs="Times New Roman"/>
                <w:sz w:val="22"/>
                <w:lang w:eastAsia="el-GR"/>
              </w:rPr>
            </w:pPr>
            <w:r w:rsidRPr="0041163A">
              <w:rPr>
                <w:rFonts w:eastAsia="Calibri" w:cs="Times New Roman"/>
                <w:sz w:val="22"/>
                <w:lang w:eastAsia="el-GR"/>
              </w:rPr>
              <w:t xml:space="preserve">Ο Ξενοφώντας αξιοποίησε στο έργο </w:t>
            </w:r>
            <w:r w:rsidRPr="0041163A">
              <w:rPr>
                <w:rFonts w:eastAsia="Calibri" w:cs="Times New Roman"/>
                <w:i/>
                <w:iCs/>
                <w:sz w:val="22"/>
                <w:lang w:eastAsia="el-GR"/>
              </w:rPr>
              <w:lastRenderedPageBreak/>
              <w:t>Ἑλληνικὰ</w:t>
            </w:r>
            <w:r w:rsidRPr="0041163A">
              <w:rPr>
                <w:rFonts w:eastAsia="Calibri" w:cs="Times New Roman"/>
                <w:sz w:val="22"/>
                <w:lang w:eastAsia="el-GR"/>
              </w:rPr>
              <w:t xml:space="preserve"> κατά την αφήγηση των γεγονότων</w:t>
            </w:r>
          </w:p>
          <w:p w:rsidR="00450FBC" w:rsidRPr="0041163A" w:rsidRDefault="00450FBC" w:rsidP="00450FBC">
            <w:pPr>
              <w:numPr>
                <w:ilvl w:val="0"/>
                <w:numId w:val="8"/>
              </w:numPr>
              <w:spacing w:after="0" w:line="360" w:lineRule="auto"/>
              <w:ind w:left="357" w:hanging="357"/>
              <w:contextualSpacing w:val="0"/>
              <w:rPr>
                <w:rFonts w:eastAsia="Calibri" w:cs="Times New Roman"/>
                <w:sz w:val="22"/>
                <w:lang w:eastAsia="el-GR"/>
              </w:rPr>
            </w:pPr>
            <w:r w:rsidRPr="0041163A">
              <w:rPr>
                <w:rFonts w:eastAsia="Calibri" w:cs="Times New Roman"/>
                <w:sz w:val="22"/>
                <w:lang w:eastAsia="el-GR"/>
              </w:rPr>
              <w:t xml:space="preserve"> Ο Ξενοφώντας έμεινε σταθερός στις</w:t>
            </w:r>
          </w:p>
          <w:p w:rsidR="00450FBC" w:rsidRPr="0041163A" w:rsidRDefault="00450FBC" w:rsidP="00EC14CD">
            <w:pPr>
              <w:spacing w:line="360" w:lineRule="auto"/>
              <w:ind w:left="360"/>
              <w:contextualSpacing w:val="0"/>
              <w:rPr>
                <w:rFonts w:eastAsia="Calibri" w:cs="Times New Roman"/>
                <w:sz w:val="22"/>
                <w:lang w:eastAsia="el-GR"/>
              </w:rPr>
            </w:pPr>
          </w:p>
        </w:tc>
        <w:tc>
          <w:tcPr>
            <w:tcW w:w="0" w:type="auto"/>
            <w:tcBorders>
              <w:top w:val="single" w:sz="4" w:space="0" w:color="auto"/>
              <w:left w:val="single" w:sz="4" w:space="0" w:color="auto"/>
              <w:bottom w:val="single" w:sz="4" w:space="0" w:color="auto"/>
              <w:right w:val="single" w:sz="4" w:space="0" w:color="auto"/>
            </w:tcBorders>
          </w:tcPr>
          <w:p w:rsidR="00450FBC" w:rsidRPr="0041163A" w:rsidRDefault="00450FBC" w:rsidP="00EC14CD">
            <w:pPr>
              <w:spacing w:line="360" w:lineRule="auto"/>
              <w:rPr>
                <w:rFonts w:eastAsia="Calibri" w:cs="Times New Roman"/>
                <w:sz w:val="22"/>
                <w:lang w:eastAsia="el-GR"/>
              </w:rPr>
            </w:pPr>
            <w:r w:rsidRPr="0041163A">
              <w:rPr>
                <w:rFonts w:eastAsia="Calibri" w:cs="Times New Roman"/>
                <w:sz w:val="22"/>
                <w:lang w:eastAsia="el-GR"/>
              </w:rPr>
              <w:lastRenderedPageBreak/>
              <w:t>α. τη μεροληπτική περιγραφή του καθεστώτος των τριάκοντα τυράννων στην Αθήνα.</w:t>
            </w:r>
          </w:p>
          <w:p w:rsidR="00450FBC" w:rsidRPr="0041163A" w:rsidRDefault="00450FBC" w:rsidP="00EC14CD">
            <w:pPr>
              <w:spacing w:line="360" w:lineRule="auto"/>
              <w:rPr>
                <w:rFonts w:eastAsia="Calibri" w:cs="Times New Roman"/>
                <w:sz w:val="22"/>
                <w:lang w:eastAsia="el-GR"/>
              </w:rPr>
            </w:pPr>
            <w:r w:rsidRPr="0041163A">
              <w:rPr>
                <w:rFonts w:eastAsia="Calibri" w:cs="Times New Roman"/>
                <w:sz w:val="22"/>
                <w:lang w:eastAsia="el-GR"/>
              </w:rPr>
              <w:t>β. ιδέες και στις αξίες του σε όλη τη διάρκεια της ζωής του.</w:t>
            </w:r>
          </w:p>
          <w:p w:rsidR="00450FBC" w:rsidRPr="0041163A" w:rsidRDefault="00450FBC" w:rsidP="00EC14CD">
            <w:pPr>
              <w:spacing w:line="360" w:lineRule="auto"/>
              <w:rPr>
                <w:rFonts w:eastAsia="Calibri" w:cs="Times New Roman"/>
                <w:sz w:val="22"/>
                <w:lang w:eastAsia="el-GR"/>
              </w:rPr>
            </w:pPr>
            <w:r w:rsidRPr="0041163A">
              <w:rPr>
                <w:rFonts w:eastAsia="Calibri" w:cs="Times New Roman"/>
                <w:sz w:val="22"/>
                <w:lang w:eastAsia="el-GR"/>
              </w:rPr>
              <w:t>γ. τον φιλόσοφο Σωκράτη και τον πολιτικό Αγησίλαο.</w:t>
            </w:r>
          </w:p>
          <w:p w:rsidR="00450FBC" w:rsidRPr="0041163A" w:rsidRDefault="00450FBC" w:rsidP="00EC14CD">
            <w:pPr>
              <w:spacing w:line="360" w:lineRule="auto"/>
              <w:rPr>
                <w:rFonts w:eastAsia="Calibri" w:cs="Times New Roman"/>
                <w:sz w:val="22"/>
                <w:lang w:eastAsia="el-GR"/>
              </w:rPr>
            </w:pPr>
            <w:r w:rsidRPr="0041163A">
              <w:rPr>
                <w:rFonts w:eastAsia="Calibri" w:cs="Times New Roman"/>
                <w:sz w:val="22"/>
                <w:lang w:eastAsia="el-GR"/>
              </w:rPr>
              <w:lastRenderedPageBreak/>
              <w:t>δ. «εσωτερικές» μαρτυρίες και τη μελέτη του ύφους του.</w:t>
            </w:r>
          </w:p>
          <w:p w:rsidR="00450FBC" w:rsidRPr="0041163A" w:rsidRDefault="00450FBC" w:rsidP="00EC14CD">
            <w:pPr>
              <w:spacing w:line="360" w:lineRule="auto"/>
              <w:rPr>
                <w:rFonts w:eastAsia="Calibri" w:cs="Times New Roman"/>
                <w:sz w:val="22"/>
                <w:lang w:eastAsia="el-GR"/>
              </w:rPr>
            </w:pPr>
            <w:r w:rsidRPr="0041163A">
              <w:rPr>
                <w:rFonts w:eastAsia="Calibri" w:cs="Times New Roman"/>
                <w:sz w:val="22"/>
                <w:lang w:eastAsia="el-GR"/>
              </w:rPr>
              <w:t xml:space="preserve">ε. </w:t>
            </w:r>
            <w:r w:rsidRPr="0041163A">
              <w:rPr>
                <w:rFonts w:eastAsia="Calibri" w:cs="Times New Roman"/>
                <w:bCs/>
                <w:sz w:val="22"/>
                <w:lang w:eastAsia="el-GR"/>
              </w:rPr>
              <w:t>τον ομότεχνό του Θουκυδίδη.</w:t>
            </w:r>
          </w:p>
          <w:p w:rsidR="00450FBC" w:rsidRPr="0041163A" w:rsidRDefault="00450FBC" w:rsidP="00EC14CD">
            <w:pPr>
              <w:spacing w:line="360" w:lineRule="auto"/>
              <w:rPr>
                <w:rFonts w:eastAsia="Calibri" w:cs="Times New Roman"/>
                <w:sz w:val="22"/>
                <w:lang w:eastAsia="el-GR"/>
              </w:rPr>
            </w:pPr>
            <w:r w:rsidRPr="0041163A">
              <w:rPr>
                <w:rFonts w:eastAsia="Calibri" w:cs="Times New Roman"/>
                <w:sz w:val="22"/>
                <w:lang w:eastAsia="el-GR"/>
              </w:rPr>
              <w:t>ζ. την ικανότητά του να ζωντανεύει με δραματική ένταση μεμονωμένες σκηνές.</w:t>
            </w:r>
          </w:p>
          <w:p w:rsidR="00450FBC" w:rsidRPr="0041163A" w:rsidRDefault="00450FBC" w:rsidP="00EC14CD">
            <w:pPr>
              <w:spacing w:line="360" w:lineRule="auto"/>
              <w:rPr>
                <w:rFonts w:eastAsia="Calibri" w:cs="Times New Roman"/>
                <w:sz w:val="22"/>
                <w:lang w:eastAsia="el-GR"/>
              </w:rPr>
            </w:pPr>
            <w:r w:rsidRPr="0041163A">
              <w:rPr>
                <w:rFonts w:eastAsia="Calibri" w:cs="Times New Roman"/>
                <w:sz w:val="22"/>
                <w:lang w:eastAsia="el-GR"/>
              </w:rPr>
              <w:t>η. ιστορικά, σωκρατικά και διδακτικά.</w:t>
            </w:r>
          </w:p>
        </w:tc>
      </w:tr>
    </w:tbl>
    <w:p w:rsidR="0075734A" w:rsidRPr="00384117" w:rsidRDefault="0075734A">
      <w:pPr>
        <w:rPr>
          <w:rFonts w:cs="Times New Roman"/>
        </w:rPr>
      </w:pPr>
    </w:p>
    <w:sectPr w:rsidR="0075734A" w:rsidRPr="00384117"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72CA5"/>
    <w:multiLevelType w:val="hybridMultilevel"/>
    <w:tmpl w:val="9D8EE24E"/>
    <w:lvl w:ilvl="0" w:tplc="3AC05858">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nsid w:val="34AD1DB0"/>
    <w:multiLevelType w:val="hybridMultilevel"/>
    <w:tmpl w:val="29E6AAB2"/>
    <w:lvl w:ilvl="0" w:tplc="7D16215C">
      <w:start w:val="5"/>
      <w:numFmt w:val="decimal"/>
      <w:lvlText w:val="%1."/>
      <w:lvlJc w:val="left"/>
      <w:pPr>
        <w:ind w:left="360" w:hanging="360"/>
      </w:pPr>
      <w:rPr>
        <w:rFonts w:hint="default"/>
        <w:b/>
        <w:bCs/>
      </w:rPr>
    </w:lvl>
    <w:lvl w:ilvl="1" w:tplc="420ACF3A" w:tentative="1">
      <w:start w:val="1"/>
      <w:numFmt w:val="lowerLetter"/>
      <w:lvlText w:val="%2."/>
      <w:lvlJc w:val="left"/>
      <w:pPr>
        <w:ind w:left="1440" w:hanging="360"/>
      </w:pPr>
    </w:lvl>
    <w:lvl w:ilvl="2" w:tplc="79EA7D14" w:tentative="1">
      <w:start w:val="1"/>
      <w:numFmt w:val="lowerRoman"/>
      <w:lvlText w:val="%3."/>
      <w:lvlJc w:val="right"/>
      <w:pPr>
        <w:ind w:left="2160" w:hanging="180"/>
      </w:pPr>
    </w:lvl>
    <w:lvl w:ilvl="3" w:tplc="F11E8EA8" w:tentative="1">
      <w:start w:val="1"/>
      <w:numFmt w:val="decimal"/>
      <w:lvlText w:val="%4."/>
      <w:lvlJc w:val="left"/>
      <w:pPr>
        <w:ind w:left="2880" w:hanging="360"/>
      </w:pPr>
    </w:lvl>
    <w:lvl w:ilvl="4" w:tplc="3DDEEE96" w:tentative="1">
      <w:start w:val="1"/>
      <w:numFmt w:val="lowerLetter"/>
      <w:lvlText w:val="%5."/>
      <w:lvlJc w:val="left"/>
      <w:pPr>
        <w:ind w:left="3600" w:hanging="360"/>
      </w:pPr>
    </w:lvl>
    <w:lvl w:ilvl="5" w:tplc="7CB6ADEA" w:tentative="1">
      <w:start w:val="1"/>
      <w:numFmt w:val="lowerRoman"/>
      <w:lvlText w:val="%6."/>
      <w:lvlJc w:val="right"/>
      <w:pPr>
        <w:ind w:left="4320" w:hanging="180"/>
      </w:pPr>
    </w:lvl>
    <w:lvl w:ilvl="6" w:tplc="891C7F9E" w:tentative="1">
      <w:start w:val="1"/>
      <w:numFmt w:val="decimal"/>
      <w:lvlText w:val="%7."/>
      <w:lvlJc w:val="left"/>
      <w:pPr>
        <w:ind w:left="5040" w:hanging="360"/>
      </w:pPr>
    </w:lvl>
    <w:lvl w:ilvl="7" w:tplc="40AEC7B6" w:tentative="1">
      <w:start w:val="1"/>
      <w:numFmt w:val="lowerLetter"/>
      <w:lvlText w:val="%8."/>
      <w:lvlJc w:val="left"/>
      <w:pPr>
        <w:ind w:left="5760" w:hanging="360"/>
      </w:pPr>
    </w:lvl>
    <w:lvl w:ilvl="8" w:tplc="0832DF80" w:tentative="1">
      <w:start w:val="1"/>
      <w:numFmt w:val="lowerRoman"/>
      <w:lvlText w:val="%9."/>
      <w:lvlJc w:val="right"/>
      <w:pPr>
        <w:ind w:left="6480" w:hanging="180"/>
      </w:pPr>
    </w:lvl>
  </w:abstractNum>
  <w:abstractNum w:abstractNumId="2">
    <w:nsid w:val="3F82157C"/>
    <w:multiLevelType w:val="hybridMultilevel"/>
    <w:tmpl w:val="19041FA4"/>
    <w:lvl w:ilvl="0" w:tplc="49906F4C">
      <w:start w:val="2"/>
      <w:numFmt w:val="decimal"/>
      <w:lvlText w:val="%1."/>
      <w:lvlJc w:val="left"/>
      <w:pPr>
        <w:ind w:left="360" w:hanging="360"/>
      </w:pPr>
      <w:rPr>
        <w:rFonts w:hint="default"/>
        <w:color w:val="auto"/>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4222460B"/>
    <w:multiLevelType w:val="hybridMultilevel"/>
    <w:tmpl w:val="334E88D0"/>
    <w:lvl w:ilvl="0" w:tplc="0CEC001E">
      <w:start w:val="6"/>
      <w:numFmt w:val="decimal"/>
      <w:lvlText w:val="%1."/>
      <w:lvlJc w:val="left"/>
      <w:pPr>
        <w:ind w:left="360" w:hanging="360"/>
      </w:pPr>
      <w:rPr>
        <w:rFonts w:hint="default"/>
        <w:b/>
        <w:bCs/>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623D12DE"/>
    <w:multiLevelType w:val="hybridMultilevel"/>
    <w:tmpl w:val="600645D2"/>
    <w:lvl w:ilvl="0" w:tplc="F79A7560">
      <w:start w:val="1"/>
      <w:numFmt w:val="decimal"/>
      <w:lvlText w:val="%1."/>
      <w:lvlJc w:val="left"/>
      <w:pPr>
        <w:ind w:left="360" w:hanging="360"/>
      </w:pPr>
      <w:rPr>
        <w:b/>
        <w:bCs/>
      </w:rPr>
    </w:lvl>
    <w:lvl w:ilvl="1" w:tplc="59907B38" w:tentative="1">
      <w:start w:val="1"/>
      <w:numFmt w:val="lowerLetter"/>
      <w:lvlText w:val="%2."/>
      <w:lvlJc w:val="left"/>
      <w:pPr>
        <w:ind w:left="1080" w:hanging="360"/>
      </w:pPr>
    </w:lvl>
    <w:lvl w:ilvl="2" w:tplc="A3547A22" w:tentative="1">
      <w:start w:val="1"/>
      <w:numFmt w:val="lowerRoman"/>
      <w:lvlText w:val="%3."/>
      <w:lvlJc w:val="right"/>
      <w:pPr>
        <w:ind w:left="1800" w:hanging="180"/>
      </w:pPr>
    </w:lvl>
    <w:lvl w:ilvl="3" w:tplc="D0107DD6" w:tentative="1">
      <w:start w:val="1"/>
      <w:numFmt w:val="decimal"/>
      <w:lvlText w:val="%4."/>
      <w:lvlJc w:val="left"/>
      <w:pPr>
        <w:ind w:left="2520" w:hanging="360"/>
      </w:pPr>
    </w:lvl>
    <w:lvl w:ilvl="4" w:tplc="DB609A98" w:tentative="1">
      <w:start w:val="1"/>
      <w:numFmt w:val="lowerLetter"/>
      <w:lvlText w:val="%5."/>
      <w:lvlJc w:val="left"/>
      <w:pPr>
        <w:ind w:left="3240" w:hanging="360"/>
      </w:pPr>
    </w:lvl>
    <w:lvl w:ilvl="5" w:tplc="5FC8CEF4" w:tentative="1">
      <w:start w:val="1"/>
      <w:numFmt w:val="lowerRoman"/>
      <w:lvlText w:val="%6."/>
      <w:lvlJc w:val="right"/>
      <w:pPr>
        <w:ind w:left="3960" w:hanging="180"/>
      </w:pPr>
    </w:lvl>
    <w:lvl w:ilvl="6" w:tplc="23420446" w:tentative="1">
      <w:start w:val="1"/>
      <w:numFmt w:val="decimal"/>
      <w:lvlText w:val="%7."/>
      <w:lvlJc w:val="left"/>
      <w:pPr>
        <w:ind w:left="4680" w:hanging="360"/>
      </w:pPr>
    </w:lvl>
    <w:lvl w:ilvl="7" w:tplc="4FB6866A" w:tentative="1">
      <w:start w:val="1"/>
      <w:numFmt w:val="lowerLetter"/>
      <w:lvlText w:val="%8."/>
      <w:lvlJc w:val="left"/>
      <w:pPr>
        <w:ind w:left="5400" w:hanging="360"/>
      </w:pPr>
    </w:lvl>
    <w:lvl w:ilvl="8" w:tplc="08621B84" w:tentative="1">
      <w:start w:val="1"/>
      <w:numFmt w:val="lowerRoman"/>
      <w:lvlText w:val="%9."/>
      <w:lvlJc w:val="right"/>
      <w:pPr>
        <w:ind w:left="6120" w:hanging="180"/>
      </w:pPr>
    </w:lvl>
  </w:abstractNum>
  <w:abstractNum w:abstractNumId="5">
    <w:nsid w:val="6ADA749F"/>
    <w:multiLevelType w:val="hybridMultilevel"/>
    <w:tmpl w:val="1700AB6C"/>
    <w:lvl w:ilvl="0" w:tplc="F6C472AE">
      <w:start w:val="1"/>
      <w:numFmt w:val="decimal"/>
      <w:lvlText w:val="%1."/>
      <w:lvlJc w:val="left"/>
      <w:pPr>
        <w:ind w:left="720" w:hanging="360"/>
      </w:pPr>
      <w:rPr>
        <w:rFonts w:hint="default"/>
        <w:i w:val="0"/>
        <w:i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75146484"/>
    <w:multiLevelType w:val="hybridMultilevel"/>
    <w:tmpl w:val="B12A156A"/>
    <w:lvl w:ilvl="0" w:tplc="13621AAC">
      <w:start w:val="8"/>
      <w:numFmt w:val="decimal"/>
      <w:lvlText w:val="%1."/>
      <w:lvlJc w:val="left"/>
      <w:pPr>
        <w:ind w:left="360" w:hanging="360"/>
      </w:pPr>
      <w:rPr>
        <w:rFonts w:hint="default"/>
        <w:b/>
        <w:bCs/>
      </w:rPr>
    </w:lvl>
    <w:lvl w:ilvl="1" w:tplc="A3E41318" w:tentative="1">
      <w:start w:val="1"/>
      <w:numFmt w:val="lowerLetter"/>
      <w:lvlText w:val="%2."/>
      <w:lvlJc w:val="left"/>
      <w:pPr>
        <w:ind w:left="1440" w:hanging="360"/>
      </w:pPr>
    </w:lvl>
    <w:lvl w:ilvl="2" w:tplc="BF7EEA6A" w:tentative="1">
      <w:start w:val="1"/>
      <w:numFmt w:val="lowerRoman"/>
      <w:lvlText w:val="%3."/>
      <w:lvlJc w:val="right"/>
      <w:pPr>
        <w:ind w:left="2160" w:hanging="180"/>
      </w:pPr>
    </w:lvl>
    <w:lvl w:ilvl="3" w:tplc="A656DEF8" w:tentative="1">
      <w:start w:val="1"/>
      <w:numFmt w:val="decimal"/>
      <w:lvlText w:val="%4."/>
      <w:lvlJc w:val="left"/>
      <w:pPr>
        <w:ind w:left="2880" w:hanging="360"/>
      </w:pPr>
    </w:lvl>
    <w:lvl w:ilvl="4" w:tplc="8C202384" w:tentative="1">
      <w:start w:val="1"/>
      <w:numFmt w:val="lowerLetter"/>
      <w:lvlText w:val="%5."/>
      <w:lvlJc w:val="left"/>
      <w:pPr>
        <w:ind w:left="3600" w:hanging="360"/>
      </w:pPr>
    </w:lvl>
    <w:lvl w:ilvl="5" w:tplc="E93A08AE" w:tentative="1">
      <w:start w:val="1"/>
      <w:numFmt w:val="lowerRoman"/>
      <w:lvlText w:val="%6."/>
      <w:lvlJc w:val="right"/>
      <w:pPr>
        <w:ind w:left="4320" w:hanging="180"/>
      </w:pPr>
    </w:lvl>
    <w:lvl w:ilvl="6" w:tplc="6A18BC18" w:tentative="1">
      <w:start w:val="1"/>
      <w:numFmt w:val="decimal"/>
      <w:lvlText w:val="%7."/>
      <w:lvlJc w:val="left"/>
      <w:pPr>
        <w:ind w:left="5040" w:hanging="360"/>
      </w:pPr>
    </w:lvl>
    <w:lvl w:ilvl="7" w:tplc="876CB59C" w:tentative="1">
      <w:start w:val="1"/>
      <w:numFmt w:val="lowerLetter"/>
      <w:lvlText w:val="%8."/>
      <w:lvlJc w:val="left"/>
      <w:pPr>
        <w:ind w:left="5760" w:hanging="360"/>
      </w:pPr>
    </w:lvl>
    <w:lvl w:ilvl="8" w:tplc="CA584F16" w:tentative="1">
      <w:start w:val="1"/>
      <w:numFmt w:val="lowerRoman"/>
      <w:lvlText w:val="%9."/>
      <w:lvlJc w:val="right"/>
      <w:pPr>
        <w:ind w:left="6480" w:hanging="180"/>
      </w:pPr>
    </w:lvl>
  </w:abstractNum>
  <w:abstractNum w:abstractNumId="7">
    <w:nsid w:val="7C285C71"/>
    <w:multiLevelType w:val="hybridMultilevel"/>
    <w:tmpl w:val="37C884F8"/>
    <w:lvl w:ilvl="0" w:tplc="C45A312C">
      <w:start w:val="4"/>
      <w:numFmt w:val="decimal"/>
      <w:lvlText w:val="%1."/>
      <w:lvlJc w:val="left"/>
      <w:pPr>
        <w:ind w:left="360" w:hanging="360"/>
      </w:pPr>
      <w:rPr>
        <w:rFonts w:hint="default"/>
        <w:b/>
        <w:bCs/>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4"/>
  </w:num>
  <w:num w:numId="2">
    <w:abstractNumId w:val="1"/>
  </w:num>
  <w:num w:numId="3">
    <w:abstractNumId w:val="5"/>
  </w:num>
  <w:num w:numId="4">
    <w:abstractNumId w:val="2"/>
  </w:num>
  <w:num w:numId="5">
    <w:abstractNumId w:val="3"/>
  </w:num>
  <w:num w:numId="6">
    <w:abstractNumId w:val="7"/>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84117"/>
    <w:rsid w:val="00216BDB"/>
    <w:rsid w:val="002C07B2"/>
    <w:rsid w:val="00354FE2"/>
    <w:rsid w:val="00384117"/>
    <w:rsid w:val="0041163A"/>
    <w:rsid w:val="00450FBC"/>
    <w:rsid w:val="0075734A"/>
    <w:rsid w:val="00AA5775"/>
    <w:rsid w:val="00D507C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117"/>
    <w:pPr>
      <w:spacing w:after="160"/>
      <w:contextualSpacing/>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4117"/>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653</Words>
  <Characters>3530</Characters>
  <Application>Microsoft Office Word</Application>
  <DocSecurity>0</DocSecurity>
  <Lines>29</Lines>
  <Paragraphs>8</Paragraphs>
  <ScaleCrop>false</ScaleCrop>
  <Company/>
  <LinksUpToDate>false</LinksUpToDate>
  <CharactersWithSpaces>4175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7</cp:revision>
  <dcterms:created xsi:type="dcterms:W3CDTF">2026-01-06T16:29:00Z</dcterms:created>
  <dcterms:modified xsi:type="dcterms:W3CDTF">2026-01-06T16:35:00Z</dcterms:modified>
</cp:coreProperties>
</file>